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536"/>
        <w:gridCol w:w="2126"/>
      </w:tblGrid>
      <w:tr w:rsidR="003501EB" w:rsidTr="003501EB">
        <w:trPr>
          <w:trHeight w:val="699"/>
        </w:trPr>
        <w:tc>
          <w:tcPr>
            <w:tcW w:w="9322" w:type="dxa"/>
            <w:gridSpan w:val="4"/>
          </w:tcPr>
          <w:p w:rsidR="003501EB" w:rsidRPr="00C62671" w:rsidRDefault="003501EB" w:rsidP="0068410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Section Overview</w:t>
            </w:r>
          </w:p>
        </w:tc>
      </w:tr>
      <w:tr w:rsidR="003501EB" w:rsidTr="003501EB">
        <w:tc>
          <w:tcPr>
            <w:tcW w:w="1242" w:type="dxa"/>
          </w:tcPr>
          <w:p w:rsidR="003501EB" w:rsidRPr="00C62671" w:rsidRDefault="003501EB">
            <w:pPr>
              <w:rPr>
                <w:b/>
              </w:rPr>
            </w:pPr>
            <w:r>
              <w:rPr>
                <w:b/>
              </w:rPr>
              <w:t>Ed1 Section</w:t>
            </w:r>
          </w:p>
        </w:tc>
        <w:tc>
          <w:tcPr>
            <w:tcW w:w="1418" w:type="dxa"/>
          </w:tcPr>
          <w:p w:rsidR="003501EB" w:rsidRPr="00C62671" w:rsidRDefault="003501EB">
            <w:pPr>
              <w:rPr>
                <w:b/>
              </w:rPr>
            </w:pPr>
            <w:r>
              <w:rPr>
                <w:b/>
              </w:rPr>
              <w:t>Ed 2 Section</w:t>
            </w:r>
          </w:p>
        </w:tc>
        <w:tc>
          <w:tcPr>
            <w:tcW w:w="4536" w:type="dxa"/>
          </w:tcPr>
          <w:p w:rsidR="003501EB" w:rsidRPr="00C62671" w:rsidRDefault="003501EB">
            <w:pPr>
              <w:rPr>
                <w:b/>
              </w:rPr>
            </w:pPr>
            <w:r w:rsidRPr="00C62671">
              <w:rPr>
                <w:b/>
              </w:rPr>
              <w:t>Contents</w:t>
            </w:r>
          </w:p>
        </w:tc>
        <w:tc>
          <w:tcPr>
            <w:tcW w:w="2126" w:type="dxa"/>
          </w:tcPr>
          <w:p w:rsidR="003501EB" w:rsidRPr="00C62671" w:rsidRDefault="003501EB">
            <w:pPr>
              <w:rPr>
                <w:b/>
              </w:rPr>
            </w:pPr>
            <w:r w:rsidRPr="00C62671">
              <w:rPr>
                <w:b/>
              </w:rPr>
              <w:t>Responsible party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1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1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Foreword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Laura Miller</w:t>
            </w:r>
            <w:r w:rsidR="005B451F">
              <w:rPr>
                <w:rFonts w:cs="Arial"/>
              </w:rPr>
              <w:t xml:space="preserve"> (ALL FINAL REVIEW)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2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2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Introduction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Laura Miller</w:t>
            </w:r>
            <w:r w:rsidR="005B451F">
              <w:rPr>
                <w:rFonts w:cs="Arial"/>
              </w:rPr>
              <w:t xml:space="preserve"> (ALL FINAL REVIEW)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3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3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Aim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9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this</w:t>
            </w:r>
            <w:r w:rsidRPr="00684103">
              <w:rPr>
                <w:rFonts w:cs="Arial"/>
                <w:noProof/>
                <w:spacing w:val="9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guide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Laura Miller</w:t>
            </w:r>
            <w:r w:rsidR="005B451F">
              <w:rPr>
                <w:rFonts w:cs="Arial"/>
              </w:rPr>
              <w:t xml:space="preserve"> (ALL FINAL REVIEW)</w:t>
            </w:r>
          </w:p>
        </w:tc>
      </w:tr>
      <w:tr w:rsidR="003501EB" w:rsidTr="00C52319">
        <w:tc>
          <w:tcPr>
            <w:tcW w:w="1242" w:type="dxa"/>
            <w:shd w:val="clear" w:color="auto" w:fill="FF000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4  (last item</w:t>
            </w:r>
            <w:r>
              <w:rPr>
                <w:rFonts w:cs="Arial"/>
                <w:noProof/>
                <w:spacing w:val="-3"/>
                <w:w w:val="95"/>
              </w:rPr>
              <w:t xml:space="preserve"> to be reviewed</w:t>
            </w:r>
            <w:r w:rsidRPr="00684103">
              <w:rPr>
                <w:rFonts w:cs="Arial"/>
                <w:noProof/>
                <w:spacing w:val="-3"/>
                <w:w w:val="95"/>
              </w:rPr>
              <w:t>)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4</w:t>
            </w:r>
          </w:p>
        </w:tc>
        <w:tc>
          <w:tcPr>
            <w:tcW w:w="4536" w:type="dxa"/>
            <w:shd w:val="clear" w:color="auto" w:fill="FF000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Legislative</w:t>
            </w:r>
            <w:r w:rsidRPr="00684103">
              <w:rPr>
                <w:rFonts w:cs="Arial"/>
                <w:noProof/>
                <w:spacing w:val="9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requirements</w:t>
            </w:r>
          </w:p>
        </w:tc>
        <w:tc>
          <w:tcPr>
            <w:tcW w:w="2126" w:type="dxa"/>
            <w:shd w:val="clear" w:color="auto" w:fill="FF000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 xml:space="preserve">Andrew Train 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20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5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Through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life</w:t>
            </w:r>
            <w:r w:rsidRPr="00684103">
              <w:rPr>
                <w:rFonts w:cs="Arial"/>
                <w:noProof/>
                <w:spacing w:val="10"/>
              </w:rPr>
              <w:t xml:space="preserve"> m</w:t>
            </w:r>
            <w:r w:rsidRPr="00684103">
              <w:rPr>
                <w:rFonts w:cs="Arial"/>
                <w:noProof/>
                <w:w w:val="95"/>
              </w:rPr>
              <w:t>anagement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Andy Carr</w:t>
            </w:r>
            <w:r w:rsidR="005B451F">
              <w:rPr>
                <w:rFonts w:cs="Arial"/>
              </w:rPr>
              <w:t xml:space="preserve"> (ALL FINAL REVIEW)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14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6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The</w:t>
            </w:r>
            <w:r w:rsidRPr="00684103">
              <w:rPr>
                <w:rFonts w:cs="Arial"/>
                <w:noProof/>
                <w:spacing w:val="10"/>
              </w:rPr>
              <w:t xml:space="preserve"> g</w:t>
            </w:r>
            <w:r w:rsidRPr="00684103">
              <w:rPr>
                <w:rFonts w:cs="Arial"/>
                <w:noProof/>
                <w:spacing w:val="-3"/>
                <w:w w:val="95"/>
              </w:rPr>
              <w:t>eneration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and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accumulation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 explosives</w:t>
            </w:r>
            <w:r w:rsidRPr="00684103">
              <w:rPr>
                <w:rFonts w:cs="Arial"/>
                <w:noProof/>
                <w:spacing w:val="10"/>
              </w:rPr>
              <w:t xml:space="preserve"> r</w:t>
            </w:r>
            <w:r w:rsidRPr="00684103">
              <w:rPr>
                <w:rFonts w:cs="Arial"/>
                <w:noProof/>
                <w:spacing w:val="-3"/>
                <w:w w:val="95"/>
              </w:rPr>
              <w:t>equiring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disposal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Andy Morris</w:t>
            </w:r>
            <w:r w:rsidR="005B451F">
              <w:rPr>
                <w:rFonts w:cs="Arial"/>
              </w:rPr>
              <w:t xml:space="preserve"> (ALL FINAL REVIEW)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17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7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The</w:t>
            </w:r>
            <w:r w:rsidRPr="00684103">
              <w:rPr>
                <w:rFonts w:cs="Arial"/>
                <w:noProof/>
                <w:spacing w:val="10"/>
              </w:rPr>
              <w:t xml:space="preserve"> r</w:t>
            </w:r>
            <w:r w:rsidRPr="00684103">
              <w:rPr>
                <w:rFonts w:cs="Arial"/>
                <w:noProof/>
                <w:spacing w:val="-3"/>
                <w:w w:val="95"/>
              </w:rPr>
              <w:t>eturn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including</w:t>
            </w:r>
            <w:r w:rsidRPr="00684103">
              <w:rPr>
                <w:rFonts w:cs="Arial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time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expired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or</w:t>
            </w:r>
            <w:r w:rsidRPr="00684103">
              <w:rPr>
                <w:rFonts w:cs="Arial"/>
                <w:noProof/>
                <w:spacing w:val="9"/>
              </w:rPr>
              <w:t xml:space="preserve"> d</w:t>
            </w:r>
            <w:r w:rsidRPr="00684103">
              <w:rPr>
                <w:rFonts w:cs="Arial"/>
                <w:noProof/>
                <w:spacing w:val="-3"/>
                <w:w w:val="95"/>
              </w:rPr>
              <w:t>eteriorated</w:t>
            </w:r>
            <w:r w:rsidRPr="00684103">
              <w:rPr>
                <w:rFonts w:cs="Arial"/>
                <w:noProof/>
                <w:spacing w:val="10"/>
              </w:rPr>
              <w:t xml:space="preserve"> e</w:t>
            </w:r>
            <w:r w:rsidRPr="00684103">
              <w:rPr>
                <w:rFonts w:cs="Arial"/>
                <w:noProof/>
                <w:spacing w:val="-3"/>
                <w:w w:val="95"/>
              </w:rPr>
              <w:t>xplosives</w:t>
            </w:r>
          </w:p>
          <w:p w:rsidR="003501EB" w:rsidRPr="00684103" w:rsidRDefault="003501EB" w:rsidP="00684103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3501EB" w:rsidRPr="00684103" w:rsidRDefault="00D8784F" w:rsidP="00684103">
            <w:pPr>
              <w:rPr>
                <w:rFonts w:cs="Arial"/>
              </w:rPr>
            </w:pPr>
            <w:r>
              <w:rPr>
                <w:rFonts w:cs="Arial"/>
              </w:rPr>
              <w:t>Andy Morris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5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8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Safety</w:t>
            </w:r>
            <w:r w:rsidRPr="00684103">
              <w:rPr>
                <w:rFonts w:cs="Arial"/>
                <w:noProof/>
                <w:spacing w:val="8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management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w w:val="95"/>
              </w:rPr>
              <w:t>systems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Peter Honey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6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9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Identifying hazards and controlling risks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Peter Honey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8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Default="003501EB" w:rsidP="00684103">
            <w:pPr>
              <w:rPr>
                <w:rFonts w:cs="Arial"/>
                <w:noProof/>
                <w:spacing w:val="10"/>
                <w:szCs w:val="22"/>
              </w:rPr>
            </w:pPr>
            <w:r>
              <w:rPr>
                <w:rFonts w:cs="Arial"/>
                <w:noProof/>
                <w:spacing w:val="10"/>
                <w:szCs w:val="22"/>
              </w:rPr>
              <w:t>10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  <w:szCs w:val="22"/>
              </w:rPr>
            </w:pPr>
            <w:r>
              <w:rPr>
                <w:rFonts w:cs="Arial"/>
                <w:noProof/>
                <w:spacing w:val="10"/>
                <w:szCs w:val="22"/>
              </w:rPr>
              <w:t>General Guidance (</w:t>
            </w:r>
            <w:r w:rsidRPr="00684103">
              <w:rPr>
                <w:rFonts w:cs="Arial"/>
                <w:noProof/>
                <w:spacing w:val="10"/>
                <w:szCs w:val="22"/>
              </w:rPr>
              <w:t>Hazards, risks and controls…</w:t>
            </w:r>
            <w:r>
              <w:rPr>
                <w:rFonts w:cs="Arial"/>
                <w:noProof/>
                <w:spacing w:val="10"/>
                <w:szCs w:val="22"/>
              </w:rPr>
              <w:t>)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Peter Honey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13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11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Operational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provisions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at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disposal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sites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Peter Honey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18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12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Fire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precautions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Peter Honey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7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13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w w:val="95"/>
              </w:rPr>
              <w:t>Principal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types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and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their properties</w:t>
            </w:r>
          </w:p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Ian Swallow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9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14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Selection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disposal/destruction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w w:val="95"/>
              </w:rPr>
              <w:t>method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Laura Miller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10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15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Selection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the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destruction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site</w:t>
            </w:r>
            <w:r w:rsidRPr="00684103">
              <w:rPr>
                <w:rFonts w:cs="Arial"/>
                <w:noProof/>
                <w:spacing w:val="9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and identification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9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potential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extent</w:t>
            </w:r>
            <w:r w:rsidRPr="00684103">
              <w:rPr>
                <w:rFonts w:cs="Arial"/>
                <w:noProof/>
                <w:spacing w:val="11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and severity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Kevin King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12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16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Facilities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and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w w:val="95"/>
              </w:rPr>
              <w:t>equipment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Kevin King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16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5A478F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17</w:t>
            </w:r>
          </w:p>
        </w:tc>
        <w:tc>
          <w:tcPr>
            <w:tcW w:w="4536" w:type="dxa"/>
          </w:tcPr>
          <w:p w:rsidR="003501EB" w:rsidRPr="00684103" w:rsidRDefault="003501EB" w:rsidP="005A478F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Further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guidance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w w:val="95"/>
              </w:rPr>
              <w:t>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the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storage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>
              <w:rPr>
                <w:rFonts w:cs="Arial"/>
                <w:noProof/>
                <w:spacing w:val="-3"/>
                <w:w w:val="95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requiring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disposal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Kevin King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15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18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Transportation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requiring d</w:t>
            </w:r>
            <w:r>
              <w:rPr>
                <w:rFonts w:cs="Arial"/>
                <w:noProof/>
                <w:spacing w:val="-3"/>
                <w:w w:val="95"/>
              </w:rPr>
              <w:t>isposal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Laura Miller</w:t>
            </w:r>
          </w:p>
        </w:tc>
      </w:tr>
      <w:tr w:rsidR="003501EB" w:rsidTr="00C52319">
        <w:tc>
          <w:tcPr>
            <w:tcW w:w="1242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11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>
              <w:rPr>
                <w:rFonts w:cs="Arial"/>
                <w:noProof/>
                <w:w w:val="95"/>
              </w:rPr>
              <w:t>19</w:t>
            </w:r>
          </w:p>
        </w:tc>
        <w:tc>
          <w:tcPr>
            <w:tcW w:w="4536" w:type="dxa"/>
            <w:shd w:val="clear" w:color="auto" w:fill="00B050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w w:val="95"/>
              </w:rPr>
              <w:t>Destruction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of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2"/>
                <w:w w:val="95"/>
              </w:rPr>
              <w:t xml:space="preserve">- </w:t>
            </w:r>
            <w:r w:rsidRPr="00684103">
              <w:rPr>
                <w:rFonts w:cs="Arial"/>
                <w:noProof/>
                <w:spacing w:val="-3"/>
                <w:w w:val="95"/>
              </w:rPr>
              <w:t>practical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guidance</w:t>
            </w:r>
          </w:p>
        </w:tc>
        <w:tc>
          <w:tcPr>
            <w:tcW w:w="2126" w:type="dxa"/>
            <w:shd w:val="clear" w:color="auto" w:fill="00B050"/>
          </w:tcPr>
          <w:p w:rsidR="003501EB" w:rsidRPr="00684103" w:rsidRDefault="00632DDB" w:rsidP="00684103">
            <w:pPr>
              <w:rPr>
                <w:rFonts w:cs="Arial"/>
              </w:rPr>
            </w:pPr>
            <w:r>
              <w:rPr>
                <w:rFonts w:cs="Arial"/>
              </w:rPr>
              <w:t>(ALL FINAL REVIEW)</w:t>
            </w:r>
          </w:p>
        </w:tc>
      </w:tr>
      <w:tr w:rsidR="003501EB" w:rsidTr="00135BEB">
        <w:tc>
          <w:tcPr>
            <w:tcW w:w="1242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19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:rsidR="003501EB" w:rsidRPr="00684103" w:rsidRDefault="003501EB" w:rsidP="00684103">
            <w:pPr>
              <w:rPr>
                <w:rFonts w:cs="Arial"/>
                <w:noProof/>
                <w:spacing w:val="-3"/>
                <w:w w:val="95"/>
              </w:rPr>
            </w:pPr>
            <w:r>
              <w:rPr>
                <w:rFonts w:cs="Arial"/>
                <w:noProof/>
                <w:spacing w:val="-3"/>
                <w:w w:val="95"/>
              </w:rPr>
              <w:t>20</w:t>
            </w:r>
          </w:p>
        </w:tc>
        <w:tc>
          <w:tcPr>
            <w:tcW w:w="4536" w:type="dxa"/>
          </w:tcPr>
          <w:p w:rsidR="003501EB" w:rsidRPr="00684103" w:rsidRDefault="003501EB" w:rsidP="00684103">
            <w:pPr>
              <w:rPr>
                <w:rFonts w:cs="Arial"/>
                <w:noProof/>
                <w:w w:val="95"/>
              </w:rPr>
            </w:pPr>
            <w:r w:rsidRPr="00684103">
              <w:rPr>
                <w:rFonts w:cs="Arial"/>
                <w:noProof/>
                <w:spacing w:val="-3"/>
                <w:w w:val="95"/>
              </w:rPr>
              <w:t>Certifying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Free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w w:val="95"/>
              </w:rPr>
              <w:t>From</w:t>
            </w:r>
            <w:r w:rsidRPr="00684103">
              <w:rPr>
                <w:rFonts w:cs="Arial"/>
                <w:noProof/>
                <w:spacing w:val="10"/>
              </w:rPr>
              <w:t xml:space="preserve"> </w:t>
            </w:r>
            <w:r w:rsidRPr="00684103">
              <w:rPr>
                <w:rFonts w:cs="Arial"/>
                <w:noProof/>
                <w:spacing w:val="-3"/>
                <w:w w:val="95"/>
              </w:rPr>
              <w:t>Explosives</w:t>
            </w:r>
          </w:p>
        </w:tc>
        <w:tc>
          <w:tcPr>
            <w:tcW w:w="2126" w:type="dxa"/>
          </w:tcPr>
          <w:p w:rsidR="003501EB" w:rsidRPr="00684103" w:rsidRDefault="003501EB" w:rsidP="00684103">
            <w:pPr>
              <w:rPr>
                <w:rFonts w:cs="Arial"/>
              </w:rPr>
            </w:pPr>
            <w:r w:rsidRPr="00684103">
              <w:rPr>
                <w:rFonts w:cs="Arial"/>
              </w:rPr>
              <w:t>Kevin King</w:t>
            </w:r>
          </w:p>
        </w:tc>
      </w:tr>
    </w:tbl>
    <w:p w:rsidR="00C52319" w:rsidRDefault="00C52319" w:rsidP="00684103">
      <w:pPr>
        <w:spacing w:after="0" w:line="240" w:lineRule="exact"/>
        <w:ind w:left="64" w:firstLine="78"/>
        <w:jc w:val="both"/>
        <w:rPr>
          <w:b/>
        </w:rPr>
      </w:pPr>
    </w:p>
    <w:p w:rsidR="00B16E19" w:rsidRPr="00684103" w:rsidRDefault="001718CE" w:rsidP="00684103">
      <w:pPr>
        <w:spacing w:after="0" w:line="240" w:lineRule="exact"/>
        <w:ind w:left="64" w:firstLine="78"/>
        <w:jc w:val="both"/>
        <w:rPr>
          <w:b/>
        </w:rPr>
      </w:pPr>
      <w:r>
        <w:rPr>
          <w:b/>
        </w:rPr>
        <w:t>ANNEXES</w:t>
      </w:r>
      <w:r w:rsidR="00C62671" w:rsidRPr="00684103">
        <w:rPr>
          <w:b/>
        </w:rPr>
        <w:t>:</w:t>
      </w:r>
    </w:p>
    <w:p w:rsidR="00C62671" w:rsidRDefault="00C62671" w:rsidP="00C52319">
      <w:pPr>
        <w:spacing w:after="0" w:line="240" w:lineRule="exact"/>
      </w:pPr>
    </w:p>
    <w:p w:rsidR="00B16E19" w:rsidRDefault="00B16E19" w:rsidP="00B16E19">
      <w:pPr>
        <w:spacing w:after="0" w:line="240" w:lineRule="exact"/>
        <w:ind w:left="64"/>
      </w:pPr>
    </w:p>
    <w:tbl>
      <w:tblPr>
        <w:tblStyle w:val="TableGrid"/>
        <w:tblW w:w="0" w:type="auto"/>
        <w:tblInd w:w="64" w:type="dxa"/>
        <w:tblLook w:val="04A0" w:firstRow="1" w:lastRow="0" w:firstColumn="1" w:lastColumn="0" w:noHBand="0" w:noVBand="1"/>
      </w:tblPr>
      <w:tblGrid>
        <w:gridCol w:w="1604"/>
        <w:gridCol w:w="5670"/>
        <w:gridCol w:w="1904"/>
      </w:tblGrid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A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Brief Description of Relevant Health</w:t>
            </w:r>
            <w:r w:rsidRPr="00657AC7">
              <w:rPr>
                <w:rFonts w:cs="Arial"/>
                <w:noProof/>
                <w:w w:val="95"/>
              </w:rPr>
              <w:tab/>
            </w:r>
          </w:p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and Safety Legislation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B</w:t>
            </w:r>
          </w:p>
        </w:tc>
        <w:tc>
          <w:tcPr>
            <w:tcW w:w="5670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Process Flow Map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C</w:t>
            </w:r>
          </w:p>
        </w:tc>
        <w:tc>
          <w:tcPr>
            <w:tcW w:w="5670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Typical Sources of Ignition and Initiation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D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tabs>
                <w:tab w:val="left" w:pos="7865"/>
              </w:tabs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Properties of Common Explosive Substances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E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tabs>
                <w:tab w:val="left" w:pos="7865"/>
              </w:tabs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Suggested Methods of Disposal for commonly Encountered Explosives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C52319">
        <w:trPr>
          <w:trHeight w:val="218"/>
        </w:trPr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F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tabs>
                <w:tab w:val="left" w:pos="7864"/>
              </w:tabs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Recommended Minimum Separation Distances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G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tabs>
                <w:tab w:val="left" w:pos="7865"/>
              </w:tabs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Common Categories of Explosives Might be Used as a Basis for Segregation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H</w:t>
            </w:r>
          </w:p>
        </w:tc>
        <w:tc>
          <w:tcPr>
            <w:tcW w:w="5670" w:type="dxa"/>
          </w:tcPr>
          <w:p w:rsidR="00B32F98" w:rsidRPr="00657AC7" w:rsidRDefault="00B32F98" w:rsidP="001718CE">
            <w:pPr>
              <w:tabs>
                <w:tab w:val="left" w:pos="7865"/>
              </w:tabs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Pre-treatment Activities that have been considered by the Health and Safety Executive’s Explosive Inspectorate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  <w:tr w:rsidR="00B32F98" w:rsidTr="001718CE">
        <w:tc>
          <w:tcPr>
            <w:tcW w:w="16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Z</w:t>
            </w:r>
          </w:p>
        </w:tc>
        <w:tc>
          <w:tcPr>
            <w:tcW w:w="5670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  <w:r w:rsidRPr="00657AC7">
              <w:rPr>
                <w:rFonts w:cs="Arial"/>
                <w:noProof/>
                <w:w w:val="95"/>
              </w:rPr>
              <w:t>Aide Memoire</w:t>
            </w:r>
          </w:p>
        </w:tc>
        <w:tc>
          <w:tcPr>
            <w:tcW w:w="1904" w:type="dxa"/>
          </w:tcPr>
          <w:p w:rsidR="00B32F98" w:rsidRPr="00657AC7" w:rsidRDefault="00B32F98" w:rsidP="00657AC7">
            <w:pPr>
              <w:rPr>
                <w:rFonts w:cs="Arial"/>
                <w:noProof/>
                <w:w w:val="95"/>
              </w:rPr>
            </w:pPr>
          </w:p>
        </w:tc>
      </w:tr>
    </w:tbl>
    <w:p w:rsidR="00B16E19" w:rsidRDefault="00B16E19" w:rsidP="00C52319">
      <w:pPr>
        <w:tabs>
          <w:tab w:val="left" w:pos="7984"/>
        </w:tabs>
        <w:spacing w:after="0" w:line="312" w:lineRule="exact"/>
        <w:rPr>
          <w:rFonts w:cs="Arial"/>
          <w:b/>
          <w:noProof/>
          <w:color w:val="000000"/>
          <w:spacing w:val="-3"/>
          <w:w w:val="95"/>
          <w:sz w:val="24"/>
        </w:rPr>
      </w:pPr>
    </w:p>
    <w:sectPr w:rsidR="00B16E19" w:rsidSect="00C5231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C0" w:rsidRDefault="003542C0" w:rsidP="00C62671">
      <w:pPr>
        <w:spacing w:after="0" w:line="240" w:lineRule="auto"/>
      </w:pPr>
      <w:r>
        <w:separator/>
      </w:r>
    </w:p>
  </w:endnote>
  <w:endnote w:type="continuationSeparator" w:id="0">
    <w:p w:rsidR="003542C0" w:rsidRDefault="003542C0" w:rsidP="00C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C0" w:rsidRDefault="003542C0" w:rsidP="00C62671">
      <w:pPr>
        <w:spacing w:after="0" w:line="240" w:lineRule="auto"/>
      </w:pPr>
      <w:r>
        <w:separator/>
      </w:r>
    </w:p>
  </w:footnote>
  <w:footnote w:type="continuationSeparator" w:id="0">
    <w:p w:rsidR="003542C0" w:rsidRDefault="003542C0" w:rsidP="00C6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AES" w:cryptAlgorithmClass="hash" w:cryptAlgorithmType="typeAny" w:cryptAlgorithmSid="14" w:cryptSpinCount="100000" w:hash="4P0fcfQN5gLvSxwCJeJzYzH655kxpsMT8zAmwSu6D8/wRM2d6bR9e6wNAXi/uoyVH1R5o77ISl06MJvW6SrG0Q==" w:salt="Awi2ocl+fvsBthjx4GdD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9"/>
    <w:rsid w:val="00051314"/>
    <w:rsid w:val="00115657"/>
    <w:rsid w:val="00135BEB"/>
    <w:rsid w:val="001570BE"/>
    <w:rsid w:val="001718CE"/>
    <w:rsid w:val="003501EB"/>
    <w:rsid w:val="003542C0"/>
    <w:rsid w:val="003667C8"/>
    <w:rsid w:val="005A478F"/>
    <w:rsid w:val="005B451F"/>
    <w:rsid w:val="00632DDB"/>
    <w:rsid w:val="00655E2A"/>
    <w:rsid w:val="00657AC7"/>
    <w:rsid w:val="00684103"/>
    <w:rsid w:val="006F4BC2"/>
    <w:rsid w:val="007F4E24"/>
    <w:rsid w:val="00844C9C"/>
    <w:rsid w:val="00974CCF"/>
    <w:rsid w:val="00A426F6"/>
    <w:rsid w:val="00A90E63"/>
    <w:rsid w:val="00B13D6D"/>
    <w:rsid w:val="00B16E19"/>
    <w:rsid w:val="00B32F98"/>
    <w:rsid w:val="00B63E5E"/>
    <w:rsid w:val="00C52319"/>
    <w:rsid w:val="00C62671"/>
    <w:rsid w:val="00D30D10"/>
    <w:rsid w:val="00D8784F"/>
    <w:rsid w:val="00DB4832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E1FBA-34F5-4F43-9A8F-8744FDF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E19"/>
    <w:pPr>
      <w:widowControl w:val="0"/>
      <w:spacing w:line="240" w:lineRule="auto"/>
    </w:pPr>
    <w:rPr>
      <w:rFonts w:asciiTheme="minorHAnsi" w:eastAsiaTheme="minorEastAsia" w:hAnsiTheme="minorHAnsi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E19"/>
    <w:rPr>
      <w:rFonts w:asciiTheme="minorHAnsi" w:eastAsiaTheme="minorEastAsia" w:hAnsiTheme="minorHAnsi"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71"/>
  </w:style>
  <w:style w:type="paragraph" w:styleId="Footer">
    <w:name w:val="footer"/>
    <w:basedOn w:val="Normal"/>
    <w:link w:val="FooterChar"/>
    <w:uiPriority w:val="99"/>
    <w:unhideWhenUsed/>
    <w:rsid w:val="00C6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71"/>
  </w:style>
  <w:style w:type="paragraph" w:styleId="Revision">
    <w:name w:val="Revision"/>
    <w:hidden/>
    <w:uiPriority w:val="99"/>
    <w:semiHidden/>
    <w:rsid w:val="00684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Laura (UK)</dc:creator>
  <cp:lastModifiedBy>Iexpe Org</cp:lastModifiedBy>
  <cp:revision>2</cp:revision>
  <dcterms:created xsi:type="dcterms:W3CDTF">2017-08-17T14:51:00Z</dcterms:created>
  <dcterms:modified xsi:type="dcterms:W3CDTF">2017-08-17T14:51:00Z</dcterms:modified>
</cp:coreProperties>
</file>